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 xml:space="preserve">-2603/2024 </w:t>
      </w:r>
    </w:p>
    <w:p>
      <w:pPr>
        <w:keepNext/>
        <w:spacing w:before="0" w:after="0"/>
        <w:jc w:val="center"/>
      </w:pP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  <w:caps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keepNext/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Ачкасова Е.В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гражданское 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иск</w:t>
      </w:r>
      <w:r>
        <w:rPr>
          <w:rFonts w:ascii="Times New Roman" w:eastAsia="Times New Roman" w:hAnsi="Times New Roman" w:cs="Times New Roman"/>
        </w:rPr>
        <w:t xml:space="preserve">овому заявлению </w:t>
      </w:r>
      <w:r>
        <w:rPr>
          <w:rFonts w:ascii="Times New Roman" w:eastAsia="Times New Roman" w:hAnsi="Times New Roman" w:cs="Times New Roman"/>
        </w:rPr>
        <w:t>Администрации города Сургута (</w:t>
      </w:r>
      <w:r>
        <w:rPr>
          <w:rStyle w:val="cat-UserDefinedgrp-16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Мариненко Виталию Николаевичу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1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о взыскании </w:t>
      </w:r>
      <w:r>
        <w:rPr>
          <w:rFonts w:ascii="Times New Roman" w:eastAsia="Times New Roman" w:hAnsi="Times New Roman" w:cs="Times New Roman"/>
        </w:rPr>
        <w:t>неосновательного обогащения за пользование земельным участком, процентов за пользование чужими денежными средствами,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 167, 194-199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</w:rPr>
        <w:t xml:space="preserve">Администрации города Сургута к </w:t>
      </w:r>
      <w:r>
        <w:rPr>
          <w:rFonts w:ascii="Times New Roman" w:eastAsia="Times New Roman" w:hAnsi="Times New Roman" w:cs="Times New Roman"/>
        </w:rPr>
        <w:t>Мариненко Виталию Николаевичу</w:t>
      </w:r>
      <w:r>
        <w:rPr>
          <w:rFonts w:ascii="Times New Roman" w:eastAsia="Times New Roman" w:hAnsi="Times New Roman" w:cs="Times New Roman"/>
        </w:rPr>
        <w:t xml:space="preserve"> о взыскании </w:t>
      </w:r>
      <w:r>
        <w:rPr>
          <w:rFonts w:ascii="Times New Roman" w:eastAsia="Times New Roman" w:hAnsi="Times New Roman" w:cs="Times New Roman"/>
        </w:rPr>
        <w:t>неосновательного обогащения за</w:t>
      </w:r>
      <w:r>
        <w:rPr>
          <w:rFonts w:ascii="Times New Roman" w:eastAsia="Times New Roman" w:hAnsi="Times New Roman" w:cs="Times New Roman"/>
        </w:rPr>
        <w:t xml:space="preserve"> пользование земельным участком </w:t>
      </w:r>
      <w:r>
        <w:rPr>
          <w:rFonts w:ascii="Times New Roman" w:eastAsia="Times New Roman" w:hAnsi="Times New Roman" w:cs="Times New Roman"/>
        </w:rPr>
        <w:t xml:space="preserve">(кадастровый номер </w:t>
      </w:r>
      <w:r>
        <w:rPr>
          <w:rStyle w:val="cat-UserDefinedgrp-1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расположенный по адресу: </w:t>
      </w:r>
      <w:r>
        <w:rPr>
          <w:rStyle w:val="cat-UserDefinedgrp-1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за период с </w:t>
      </w:r>
      <w:r>
        <w:rPr>
          <w:rFonts w:ascii="Times New Roman" w:eastAsia="Times New Roman" w:hAnsi="Times New Roman" w:cs="Times New Roman"/>
        </w:rPr>
        <w:t xml:space="preserve">13.11.2008 по 06.05.2009 в размере 252 рублей 29 копеек, </w:t>
      </w:r>
      <w:r>
        <w:rPr>
          <w:rFonts w:ascii="Times New Roman" w:eastAsia="Times New Roman" w:hAnsi="Times New Roman" w:cs="Times New Roman"/>
        </w:rPr>
        <w:t xml:space="preserve">процентов за пользование чужими денежными средствами </w:t>
      </w:r>
      <w:r>
        <w:rPr>
          <w:rFonts w:ascii="Times New Roman" w:eastAsia="Times New Roman" w:hAnsi="Times New Roman" w:cs="Times New Roman"/>
        </w:rPr>
        <w:t xml:space="preserve">– отказать </w:t>
      </w:r>
      <w:r>
        <w:rPr>
          <w:rFonts w:ascii="Times New Roman" w:eastAsia="Times New Roman" w:hAnsi="Times New Roman" w:cs="Times New Roman"/>
        </w:rPr>
        <w:t>(в связи с пропуском срока исковой давности)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3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5">
    <w:name w:val="cat-UserDefined grp-16 rplc-5"/>
    <w:basedOn w:val="DefaultParagraphFont"/>
  </w:style>
  <w:style w:type="character" w:customStyle="1" w:styleId="cat-UserDefinedgrp-17rplc-8">
    <w:name w:val="cat-UserDefined grp-17 rplc-8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9rplc-15">
    <w:name w:val="cat-UserDefined grp-1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